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20" w:lineRule="auto"/>
        <w:jc w:val="center"/>
        <w:rPr>
          <w:rFonts w:ascii="Courier New" w:cs="Courier New" w:eastAsia="Courier New" w:hAnsi="Courier New"/>
          <w:b w:val="1"/>
          <w:bCs w:val="1"/>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1767205</wp:posOffset>
            </wp:positionH>
            <wp:positionV relativeFrom="paragraph">
              <wp:posOffset>-287654</wp:posOffset>
            </wp:positionV>
            <wp:extent cx="2119630" cy="73342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19630" cy="733425"/>
                    </a:xfrm>
                    <a:prstGeom prst="rect"/>
                    <a:ln/>
                  </pic:spPr>
                </pic:pic>
              </a:graphicData>
            </a:graphic>
          </wp:anchor>
        </w:drawing>
      </w:r>
    </w:p>
    <w:p w:rsidR="00000000" w:rsidDel="00000000" w:rsidP="00000000" w:rsidRDefault="00000000" w:rsidRPr="00000000" w14:paraId="00000002">
      <w:pPr>
        <w:spacing w:after="0" w:line="320" w:lineRule="auto"/>
        <w:jc w:val="center"/>
        <w:rPr>
          <w:rFonts w:ascii="Courier New" w:cs="Courier New" w:eastAsia="Courier New" w:hAnsi="Courier New"/>
          <w:b w:val="1"/>
          <w:bCs w:val="1"/>
          <w:sz w:val="20"/>
          <w:szCs w:val="20"/>
        </w:rPr>
      </w:pPr>
      <w:r w:rsidDel="00000000" w:rsidR="00000000" w:rsidRPr="00000000">
        <w:rPr>
          <w:rtl w:val="0"/>
        </w:rPr>
      </w:r>
    </w:p>
    <w:p w:rsidR="00000000" w:rsidDel="00000000" w:rsidP="00000000" w:rsidRDefault="00000000" w:rsidRPr="00000000" w14:paraId="00000003">
      <w:pPr>
        <w:spacing w:after="0" w:line="320" w:lineRule="auto"/>
        <w:jc w:val="center"/>
        <w:rPr>
          <w:rFonts w:ascii="Courier New" w:cs="Courier New" w:eastAsia="Courier New" w:hAnsi="Courier New"/>
          <w:b w:val="1"/>
          <w:bCs w:val="1"/>
          <w:sz w:val="20"/>
          <w:szCs w:val="20"/>
        </w:rPr>
      </w:pPr>
      <w:r w:rsidDel="00000000" w:rsidR="00000000" w:rsidRPr="00000000">
        <w:rPr>
          <w:rtl w:val="0"/>
        </w:rPr>
      </w:r>
    </w:p>
    <w:p w:rsidR="00000000" w:rsidDel="00000000" w:rsidP="00000000" w:rsidRDefault="00000000" w:rsidRPr="00000000" w14:paraId="00000004">
      <w:pPr>
        <w:spacing w:after="0" w:line="320" w:lineRule="auto"/>
        <w:jc w:val="center"/>
        <w:rPr>
          <w:rFonts w:ascii="Courier New" w:cs="Courier New" w:eastAsia="Courier New" w:hAnsi="Courier New"/>
          <w:b w:val="1"/>
          <w:bCs w:val="1"/>
          <w:sz w:val="20"/>
          <w:szCs w:val="20"/>
        </w:rPr>
      </w:pPr>
      <w:r w:rsidDel="00000000" w:rsidR="00000000" w:rsidRPr="00000000">
        <w:rPr>
          <w:rtl w:val="0"/>
        </w:rPr>
      </w:r>
    </w:p>
    <w:p w:rsidR="00000000" w:rsidDel="00000000" w:rsidP="00000000" w:rsidRDefault="00000000" w:rsidRPr="00000000" w14:paraId="00000005">
      <w:pPr>
        <w:spacing w:after="0" w:line="320" w:lineRule="auto"/>
        <w:jc w:val="center"/>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POWER OF ATTORNEY</w:t>
      </w:r>
    </w:p>
    <w:p w:rsidR="00000000" w:rsidDel="00000000" w:rsidP="00000000" w:rsidRDefault="00000000" w:rsidRPr="00000000" w14:paraId="00000006">
      <w:pPr>
        <w:spacing w:after="0" w:line="312" w:lineRule="auto"/>
        <w:jc w:val="both"/>
        <w:rPr>
          <w:rFonts w:ascii="Courier New" w:cs="Courier New" w:eastAsia="Courier New" w:hAnsi="Courier New"/>
          <w:b w:val="1"/>
          <w:bCs w:val="1"/>
          <w:sz w:val="20"/>
          <w:szCs w:val="20"/>
        </w:rPr>
      </w:pPr>
      <w:r w:rsidDel="00000000" w:rsidR="00000000" w:rsidRPr="00000000">
        <w:rPr>
          <w:rtl w:val="0"/>
        </w:rPr>
      </w:r>
    </w:p>
    <w:p w:rsidR="00000000" w:rsidDel="00000000" w:rsidP="00000000" w:rsidRDefault="00000000" w:rsidRPr="00000000" w14:paraId="00000007">
      <w:pPr>
        <w:spacing w:after="0" w:line="320" w:lineRule="auto"/>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 (the “</w:t>
      </w:r>
      <w:r w:rsidDel="00000000" w:rsidR="00000000" w:rsidRPr="00000000">
        <w:rPr>
          <w:rFonts w:ascii="Courier New" w:cs="Courier New" w:eastAsia="Courier New" w:hAnsi="Courier New"/>
          <w:sz w:val="20"/>
          <w:szCs w:val="20"/>
          <w:u w:val="single"/>
          <w:rtl w:val="0"/>
        </w:rPr>
        <w:t xml:space="preserve">Principal</w:t>
      </w:r>
      <w:r w:rsidDel="00000000" w:rsidR="00000000" w:rsidRPr="00000000">
        <w:rPr>
          <w:rFonts w:ascii="Courier New" w:cs="Courier New" w:eastAsia="Courier New" w:hAnsi="Courier New"/>
          <w:sz w:val="20"/>
          <w:szCs w:val="20"/>
          <w:rtl w:val="0"/>
        </w:rPr>
        <w:t xml:space="preserve">”), national of [___], hereby grants special powers regarding the purpose but as broad as may be required, to Messrs. [___], so that, jointly or interchangeably:</w:t>
      </w:r>
    </w:p>
    <w:p w:rsidR="00000000" w:rsidDel="00000000" w:rsidP="00000000" w:rsidRDefault="00000000" w:rsidRPr="00000000" w14:paraId="00000008">
      <w:pPr>
        <w:spacing w:after="0" w:line="312" w:lineRule="auto"/>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312" w:lineRule="auto"/>
        <w:ind w:left="426" w:right="0" w:hanging="360"/>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They may attend, on behalf of the Principal, the general extraordinary shareholders’ meeting of Grupo Rotoplas S.A.B. de C.V. (the “</w:t>
      </w:r>
      <w:r w:rsidDel="00000000" w:rsidR="00000000" w:rsidRPr="00000000">
        <w:rPr>
          <w:rFonts w:ascii="Courier New" w:cs="Courier New" w:eastAsia="Courier New" w:hAnsi="Courier New"/>
          <w:b w:val="0"/>
          <w:bCs w:val="0"/>
          <w:i w:val="0"/>
          <w:iCs w:val="0"/>
          <w:smallCaps w:val="0"/>
          <w:strike w:val="0"/>
          <w:color w:val="000000"/>
          <w:sz w:val="20"/>
          <w:szCs w:val="20"/>
          <w:u w:val="single"/>
          <w:shd w:fill="auto" w:val="clear"/>
          <w:vertAlign w:val="baseline"/>
          <w:rtl w:val="0"/>
        </w:rPr>
        <w:t xml:space="preserve">Company”</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 to be held on </w:t>
      </w:r>
      <w:r w:rsidDel="00000000" w:rsidR="00000000" w:rsidRPr="00000000">
        <w:rPr>
          <w:rFonts w:ascii="Courier New" w:cs="Courier New" w:eastAsia="Courier New" w:hAnsi="Courier New"/>
          <w:sz w:val="20"/>
          <w:szCs w:val="20"/>
          <w:rtl w:val="0"/>
        </w:rPr>
        <w:t xml:space="preserve">December 10</w:t>
      </w:r>
      <w:r w:rsidDel="00000000" w:rsidR="00000000" w:rsidRPr="00000000">
        <w:rPr>
          <w:rFonts w:ascii="Courier New" w:cs="Courier New" w:eastAsia="Courier New" w:hAnsi="Courier New"/>
          <w:sz w:val="20"/>
          <w:szCs w:val="20"/>
          <w:vertAlign w:val="superscript"/>
          <w:rtl w:val="0"/>
        </w:rPr>
        <w:t xml:space="preserve">th</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 2025, beginning at 10:00 a.m., at the Company’s office located at No. 24 Pedregal, 19</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 floor, Molino del Rey, Miguel Hidalgo, Zip Code 11040, Mexico City.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12" w:lineRule="auto"/>
        <w:ind w:left="426" w:right="0" w:firstLine="0"/>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320" w:lineRule="auto"/>
        <w:ind w:left="426" w:right="0" w:hanging="426"/>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Exercise the voting right corresponding to the [___] ordinary shares, of the Single Series, Class [__], all representative of the Company’s share capital, held by the Principal, with regard to each and every one of the matters discussed at said general extraordinary meeting pursuant to the following:</w:t>
      </w:r>
    </w:p>
    <w:p w:rsidR="00000000" w:rsidDel="00000000" w:rsidP="00000000" w:rsidRDefault="00000000" w:rsidRPr="00000000" w14:paraId="0000000C">
      <w:pPr>
        <w:spacing w:after="0" w:line="312" w:lineRule="auto"/>
        <w:jc w:val="both"/>
        <w:rPr>
          <w:rFonts w:ascii="Courier New" w:cs="Courier New" w:eastAsia="Courier New" w:hAnsi="Courier New"/>
          <w:sz w:val="20"/>
          <w:szCs w:val="20"/>
        </w:rPr>
      </w:pPr>
      <w:r w:rsidDel="00000000" w:rsidR="00000000" w:rsidRPr="00000000">
        <w:rPr>
          <w:rtl w:val="0"/>
        </w:rPr>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69"/>
        <w:gridCol w:w="3459"/>
        <w:tblGridChange w:id="0">
          <w:tblGrid>
            <w:gridCol w:w="5369"/>
            <w:gridCol w:w="3459"/>
          </w:tblGrid>
        </w:tblGridChange>
      </w:tblGrid>
      <w:tr>
        <w:trPr>
          <w:cantSplit w:val="0"/>
          <w:tblHeader w:val="0"/>
        </w:trPr>
        <w:tc>
          <w:tcPr>
            <w:shd w:fill="auto" w:val="clear"/>
            <w:vAlign w:val="center"/>
          </w:tcPr>
          <w:p w:rsidR="00000000" w:rsidDel="00000000" w:rsidP="00000000" w:rsidRDefault="00000000" w:rsidRPr="00000000" w14:paraId="0000000D">
            <w:pPr>
              <w:spacing w:after="0" w:line="320" w:lineRule="auto"/>
              <w:jc w:val="center"/>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Item on the Agenda</w:t>
            </w:r>
          </w:p>
        </w:tc>
        <w:tc>
          <w:tcPr>
            <w:shd w:fill="auto" w:val="clear"/>
            <w:vAlign w:val="center"/>
          </w:tcPr>
          <w:p w:rsidR="00000000" w:rsidDel="00000000" w:rsidP="00000000" w:rsidRDefault="00000000" w:rsidRPr="00000000" w14:paraId="0000000E">
            <w:pPr>
              <w:spacing w:after="0" w:line="320" w:lineRule="auto"/>
              <w:jc w:val="center"/>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Instructions for the casting of the votes</w:t>
            </w:r>
          </w:p>
        </w:tc>
      </w:tr>
      <w:tr>
        <w:trPr>
          <w:cantSplit w:val="0"/>
          <w:tblHeader w:val="0"/>
        </w:trPr>
        <w:tc>
          <w:tcPr>
            <w:shd w:fill="auto" w:val="clear"/>
          </w:tcPr>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596" w:right="0" w:hanging="720"/>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Review and, if applicable, approval of the proposal of the Board of Directors to reimburse the Company's shareholders in cash, by means of a reduction of capital stock in its fixed and variable parts, proportionally and without cancellation of shares, at the rate of $0.125 (twelve</w:t>
            </w:r>
            <w:r w:rsidDel="00000000" w:rsidR="00000000" w:rsidRPr="00000000">
              <w:rPr>
                <w:rFonts w:ascii="Courier New" w:cs="Courier New" w:eastAsia="Courier New" w:hAnsi="Courier New"/>
                <w:sz w:val="20"/>
                <w:szCs w:val="20"/>
                <w:rtl w:val="0"/>
              </w:rPr>
              <w:t xml:space="preserve"> point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five cents Mexican pesos) per share, with the consequent amendment to article six of the Company's bylaws.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596" w:right="0" w:firstLine="0"/>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1">
            <w:pPr>
              <w:spacing w:after="0" w:line="312"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w:t>
            </w:r>
          </w:p>
        </w:tc>
      </w:tr>
      <w:tr>
        <w:trPr>
          <w:cantSplit w:val="0"/>
          <w:tblHeader w:val="0"/>
        </w:trPr>
        <w:tc>
          <w:tcPr>
            <w:shd w:fill="auto" w:val="clear"/>
          </w:tcPr>
          <w:p w:rsidR="00000000" w:rsidDel="00000000" w:rsidP="00000000" w:rsidRDefault="00000000" w:rsidRPr="00000000" w14:paraId="00000012">
            <w:pPr>
              <w:numPr>
                <w:ilvl w:val="0"/>
                <w:numId w:val="2"/>
              </w:numPr>
              <w:spacing w:after="0" w:line="320" w:lineRule="auto"/>
              <w:ind w:left="600" w:hanging="72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Appointment of special delegates.</w:t>
            </w:r>
          </w:p>
          <w:p w:rsidR="00000000" w:rsidDel="00000000" w:rsidP="00000000" w:rsidRDefault="00000000" w:rsidRPr="00000000" w14:paraId="00000013">
            <w:pPr>
              <w:spacing w:after="0" w:line="320" w:lineRule="auto"/>
              <w:ind w:left="600" w:firstLine="0"/>
              <w:jc w:val="both"/>
              <w:rPr>
                <w:rFonts w:ascii="Courier New" w:cs="Courier New" w:eastAsia="Courier New" w:hAnsi="Courier New"/>
                <w:sz w:val="20"/>
                <w:szCs w:val="20"/>
              </w:rPr>
            </w:pPr>
            <w:r w:rsidDel="00000000" w:rsidR="00000000" w:rsidRPr="00000000">
              <w:rPr>
                <w:rtl w:val="0"/>
              </w:rPr>
            </w:r>
          </w:p>
        </w:tc>
        <w:tc>
          <w:tcPr>
            <w:shd w:fill="auto" w:val="clear"/>
          </w:tcPr>
          <w:p w:rsidR="00000000" w:rsidDel="00000000" w:rsidP="00000000" w:rsidRDefault="00000000" w:rsidRPr="00000000" w14:paraId="00000014">
            <w:pPr>
              <w:spacing w:after="0" w:line="312" w:lineRule="auto"/>
              <w:ind w:left="34" w:firstLine="0"/>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w:t>
            </w:r>
          </w:p>
        </w:tc>
      </w:tr>
      <w:tr>
        <w:trPr>
          <w:cantSplit w:val="0"/>
          <w:tblHeader w:val="0"/>
        </w:trPr>
        <w:tc>
          <w:tcPr>
            <w:shd w:fill="auto" w:val="clear"/>
          </w:tcPr>
          <w:p w:rsidR="00000000" w:rsidDel="00000000" w:rsidP="00000000" w:rsidRDefault="00000000" w:rsidRPr="00000000" w14:paraId="00000015">
            <w:pPr>
              <w:numPr>
                <w:ilvl w:val="0"/>
                <w:numId w:val="2"/>
              </w:numPr>
              <w:spacing w:after="0" w:line="320" w:lineRule="auto"/>
              <w:ind w:left="600" w:hanging="72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Drafting, reading, and approval, if applicable, of the Meeting minutes.</w:t>
            </w:r>
          </w:p>
        </w:tc>
        <w:tc>
          <w:tcPr>
            <w:shd w:fill="auto" w:val="clear"/>
          </w:tcPr>
          <w:p w:rsidR="00000000" w:rsidDel="00000000" w:rsidP="00000000" w:rsidRDefault="00000000" w:rsidRPr="00000000" w14:paraId="00000016">
            <w:pPr>
              <w:spacing w:after="0" w:line="312" w:lineRule="auto"/>
              <w:ind w:left="34" w:firstLine="0"/>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w:t>
            </w:r>
          </w:p>
        </w:tc>
      </w:tr>
    </w:tbl>
    <w:p w:rsidR="00000000" w:rsidDel="00000000" w:rsidP="00000000" w:rsidRDefault="00000000" w:rsidRPr="00000000" w14:paraId="00000017">
      <w:pPr>
        <w:spacing w:after="0" w:line="312" w:lineRule="auto"/>
        <w:ind w:firstLine="567"/>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18">
      <w:pPr>
        <w:spacing w:after="0" w:line="312" w:lineRule="auto"/>
        <w:ind w:firstLine="567"/>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19">
      <w:pPr>
        <w:spacing w:after="0" w:line="320" w:lineRule="auto"/>
        <w:ind w:firstLine="567"/>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Mexico City, [___] [___], 2025.</w:t>
      </w:r>
    </w:p>
    <w:p w:rsidR="00000000" w:rsidDel="00000000" w:rsidP="00000000" w:rsidRDefault="00000000" w:rsidRPr="00000000" w14:paraId="0000001A">
      <w:pPr>
        <w:spacing w:after="0" w:line="320" w:lineRule="auto"/>
        <w:ind w:firstLine="567"/>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The principal</w:t>
      </w:r>
    </w:p>
    <w:tbl>
      <w:tblPr>
        <w:tblStyle w:val="Table2"/>
        <w:tblpPr w:leftFromText="141" w:rightFromText="141" w:topFromText="0" w:bottomFromText="0" w:vertAnchor="text" w:horzAnchor="text" w:tblpX="0" w:tblpY="308"/>
        <w:tblW w:w="8838.0" w:type="dxa"/>
        <w:jc w:val="left"/>
        <w:tblLayout w:type="fixed"/>
        <w:tblLook w:val="0400"/>
      </w:tblPr>
      <w:tblGrid>
        <w:gridCol w:w="4419"/>
        <w:gridCol w:w="4419"/>
        <w:tblGridChange w:id="0">
          <w:tblGrid>
            <w:gridCol w:w="4419"/>
            <w:gridCol w:w="4419"/>
          </w:tblGrid>
        </w:tblGridChange>
      </w:tblGrid>
      <w:tr>
        <w:trPr>
          <w:cantSplit w:val="0"/>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[___]</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5580"/>
              </w:tabs>
              <w:spacing w:after="0" w:before="0" w:line="32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Represented by: [___]</w:t>
            </w:r>
          </w:p>
        </w:tc>
        <w:tc>
          <w:tcPr/>
          <w:p w:rsidR="00000000" w:rsidDel="00000000" w:rsidP="00000000" w:rsidRDefault="00000000" w:rsidRPr="00000000" w14:paraId="0000001E">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5580"/>
              </w:tabs>
              <w:spacing w:after="0" w:before="0" w:line="32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Represented by: [___]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3">
      <w:pPr>
        <w:tabs>
          <w:tab w:val="left" w:leader="none" w:pos="1560"/>
        </w:tabs>
        <w:spacing w:line="312" w:lineRule="auto"/>
        <w:rPr>
          <w:sz w:val="20"/>
          <w:szCs w:val="20"/>
        </w:rPr>
      </w:pPr>
      <w:r w:rsidDel="00000000" w:rsidR="00000000" w:rsidRPr="00000000">
        <w:rPr>
          <w:rtl w:val="0"/>
        </w:rPr>
      </w:r>
    </w:p>
    <w:tbl>
      <w:tblPr>
        <w:tblStyle w:val="Table3"/>
        <w:tblpPr w:leftFromText="141" w:rightFromText="141" w:topFromText="0" w:bottomFromText="0" w:vertAnchor="text" w:horzAnchor="text" w:tblpX="0" w:tblpY="1193"/>
        <w:tblW w:w="8838.0" w:type="dxa"/>
        <w:jc w:val="left"/>
        <w:tblLayout w:type="fixed"/>
        <w:tblLook w:val="0400"/>
      </w:tblPr>
      <w:tblGrid>
        <w:gridCol w:w="4419"/>
        <w:gridCol w:w="4419"/>
        <w:tblGridChange w:id="0">
          <w:tblGrid>
            <w:gridCol w:w="4419"/>
            <w:gridCol w:w="4419"/>
          </w:tblGrid>
        </w:tblGridChange>
      </w:tblGrid>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leader="none" w:pos="1440"/>
                <w:tab w:val="left" w:leader="none" w:pos="4320"/>
                <w:tab w:val="left" w:leader="none" w:pos="5580"/>
              </w:tabs>
              <w:spacing w:after="0" w:before="0" w:line="32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Witness</w:t>
            </w:r>
          </w:p>
          <w:p w:rsidR="00000000" w:rsidDel="00000000" w:rsidP="00000000" w:rsidRDefault="00000000" w:rsidRPr="00000000" w14:paraId="00000027">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[___]</w:t>
            </w:r>
          </w:p>
        </w:tc>
        <w:tc>
          <w:tcPr/>
          <w:p w:rsidR="00000000" w:rsidDel="00000000" w:rsidP="00000000" w:rsidRDefault="00000000" w:rsidRPr="00000000" w14:paraId="0000002A">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leader="none" w:pos="1440"/>
                <w:tab w:val="left" w:leader="none" w:pos="4320"/>
                <w:tab w:val="left" w:leader="none" w:pos="5580"/>
              </w:tabs>
              <w:spacing w:after="0" w:before="0" w:line="32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Witness</w:t>
            </w:r>
          </w:p>
          <w:p w:rsidR="00000000" w:rsidDel="00000000" w:rsidP="00000000" w:rsidRDefault="00000000" w:rsidRPr="00000000" w14:paraId="0000002D">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5580"/>
              </w:tabs>
              <w:spacing w:after="0" w:before="0" w:line="312"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[___]</w:t>
            </w:r>
          </w:p>
        </w:tc>
      </w:tr>
    </w:tbl>
    <w:p w:rsidR="00000000" w:rsidDel="00000000" w:rsidP="00000000" w:rsidRDefault="00000000" w:rsidRPr="00000000" w14:paraId="00000030">
      <w:pPr>
        <w:spacing w:after="0" w:line="312" w:lineRule="auto"/>
        <w:jc w:val="both"/>
        <w:rPr>
          <w:rFonts w:ascii="Courier New" w:cs="Courier New" w:eastAsia="Courier New" w:hAnsi="Courier New"/>
          <w:sz w:val="20"/>
          <w:szCs w:val="20"/>
        </w:rPr>
      </w:pPr>
      <w:r w:rsidDel="00000000" w:rsidR="00000000" w:rsidRPr="00000000">
        <w:rPr>
          <w:rtl w:val="0"/>
        </w:rPr>
      </w:r>
    </w:p>
    <w:sectPr>
      <w:pgSz w:h="2016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6E1C2E"/>
    <w:pPr>
      <w:ind w:left="708"/>
    </w:pPr>
    <w:rPr>
      <w:rFonts w:ascii="Calibri" w:cs="Times New Roman" w:eastAsia="Calibri" w:hAnsi="Calibri"/>
      <w:lang w:val="es-ES"/>
    </w:rPr>
  </w:style>
  <w:style w:type="paragraph" w:styleId="Textoindependiente">
    <w:name w:val="Body Text"/>
    <w:basedOn w:val="Normal"/>
    <w:link w:val="TextoindependienteCar"/>
    <w:rsid w:val="00351B51"/>
    <w:pPr>
      <w:tabs>
        <w:tab w:val="left" w:pos="1440"/>
        <w:tab w:val="left" w:pos="4320"/>
      </w:tabs>
      <w:spacing w:after="0" w:line="240" w:lineRule="auto"/>
      <w:jc w:val="both"/>
    </w:pPr>
    <w:rPr>
      <w:rFonts w:ascii="Arial" w:cs="Times New Roman" w:eastAsia="Times New Roman" w:hAnsi="Arial"/>
      <w:bCs w:val="1"/>
      <w:szCs w:val="24"/>
      <w:lang w:eastAsia="es-ES"/>
    </w:rPr>
  </w:style>
  <w:style w:type="character" w:styleId="TextoindependienteCar" w:customStyle="1">
    <w:name w:val="Texto independiente Car"/>
    <w:basedOn w:val="Fuentedeprrafopredeter"/>
    <w:link w:val="Textoindependiente"/>
    <w:rsid w:val="00351B51"/>
    <w:rPr>
      <w:rFonts w:ascii="Arial" w:cs="Times New Roman" w:eastAsia="Times New Roman" w:hAnsi="Arial"/>
      <w:bCs w:val="1"/>
      <w:szCs w:val="24"/>
      <w:lang w:eastAsia="es-ES"/>
    </w:rPr>
  </w:style>
  <w:style w:type="paragraph" w:styleId="Textodeglobo">
    <w:name w:val="Balloon Text"/>
    <w:basedOn w:val="Normal"/>
    <w:link w:val="TextodegloboCar"/>
    <w:uiPriority w:val="99"/>
    <w:semiHidden w:val="1"/>
    <w:unhideWhenUsed w:val="1"/>
    <w:rsid w:val="001E36F1"/>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E36F1"/>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MtjIBAxdcqg+YYETkomyMdYxJQ==">CgMxLjA4AHIhMXZUa1Vib0lJM0Z5dVpfUE41ZTNlWEcxVDlyVHNfNnp3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2020-04-24T16:49:00Z</dcterms:created>
</cp:coreProperties>
</file>